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68" w:rsidRDefault="00F73618">
      <w:pPr>
        <w:pStyle w:val="Kopfzeile"/>
        <w:tabs>
          <w:tab w:val="clear" w:pos="4536"/>
          <w:tab w:val="clear" w:pos="9072"/>
        </w:tabs>
        <w:rPr>
          <w:color w:val="FFFFFF"/>
        </w:rPr>
      </w:pPr>
      <w:r>
        <w:rPr>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4752340</wp:posOffset>
                </wp:positionH>
                <wp:positionV relativeFrom="paragraph">
                  <wp:posOffset>-211455</wp:posOffset>
                </wp:positionV>
                <wp:extent cx="1094740" cy="1152525"/>
                <wp:effectExtent l="0" t="0" r="1270" b="190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F5B" w:rsidRDefault="00A624F4">
                            <w:r>
                              <w:rPr>
                                <w:noProof/>
                                <w:lang w:val="de-CH" w:eastAsia="de-CH"/>
                              </w:rPr>
                              <w:drawing>
                                <wp:inline distT="0" distB="0" distL="0" distR="0">
                                  <wp:extent cx="932815" cy="1222375"/>
                                  <wp:effectExtent l="1905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2815" cy="12223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74.2pt;margin-top:-16.65pt;width:86.2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" stroked="f">
                <v:textbox>
                  <w:txbxContent>
                    <w:p w:rsidR="00820F5B" w:rsidRDefault="00A624F4">
                      <w:r>
                        <w:rPr>
                          <w:noProof/>
                          <w:lang w:val="de-CH" w:eastAsia="de-CH"/>
                        </w:rPr>
                        <w:drawing>
                          <wp:inline distT="0" distB="0" distL="0" distR="0">
                            <wp:extent cx="932815" cy="1222375"/>
                            <wp:effectExtent l="1905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2815" cy="1222375"/>
                                    </a:xfrm>
                                    <a:prstGeom prst="rect">
                                      <a:avLst/>
                                    </a:prstGeom>
                                    <a:noFill/>
                                    <a:ln w="9525">
                                      <a:noFill/>
                                      <a:miter lim="800000"/>
                                      <a:headEnd/>
                                      <a:tailEnd/>
                                    </a:ln>
                                  </pic:spPr>
                                </pic:pic>
                              </a:graphicData>
                            </a:graphic>
                          </wp:inline>
                        </w:drawing>
                      </w:r>
                    </w:p>
                  </w:txbxContent>
                </v:textbox>
              </v:shape>
            </w:pict>
          </mc:Fallback>
        </mc:AlternateContent>
      </w:r>
      <w:r>
        <w:rPr>
          <w:noProof/>
          <w:color w:val="FFFFFF"/>
          <w:lang w:val="de-CH" w:eastAsia="de-CH"/>
        </w:rPr>
        <mc:AlternateContent>
          <mc:Choice Requires="wps">
            <w:drawing>
              <wp:anchor distT="0" distB="0" distL="114300" distR="114300" simplePos="0" relativeHeight="251657216" behindDoc="1" locked="0" layoutInCell="1" allowOverlap="1">
                <wp:simplePos x="0" y="0"/>
                <wp:positionH relativeFrom="column">
                  <wp:posOffset>-48260</wp:posOffset>
                </wp:positionH>
                <wp:positionV relativeFrom="paragraph">
                  <wp:posOffset>-15875</wp:posOffset>
                </wp:positionV>
                <wp:extent cx="2971800" cy="375920"/>
                <wp:effectExtent l="8890" t="12700" r="1016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7592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6974A" id="AutoShape 6" o:spid="_x0000_s1026" style="position:absolute;margin-left:-3.8pt;margin-top:-1.25pt;width:234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" fillcolor="#36f"/>
            </w:pict>
          </mc:Fallback>
        </mc:AlternateContent>
      </w:r>
      <w:r w:rsidR="00A12735">
        <w:rPr>
          <w:color w:val="FFFFFF"/>
        </w:rPr>
        <w:t>Literaturlexikon: Kindlers-Literaturlexikon</w:t>
      </w:r>
    </w:p>
    <w:p w:rsidR="00A12735" w:rsidRDefault="00A12735">
      <w:pPr>
        <w:pStyle w:val="Kopfzeile"/>
        <w:tabs>
          <w:tab w:val="clear" w:pos="4536"/>
          <w:tab w:val="clear" w:pos="9072"/>
        </w:tabs>
        <w:rPr>
          <w:caps/>
          <w:color w:val="FFFFFF"/>
          <w:sz w:val="20"/>
        </w:rPr>
      </w:pPr>
      <w:r>
        <w:rPr>
          <w:color w:val="FFFFFF"/>
        </w:rPr>
        <w:t>Eintrag zur „</w:t>
      </w:r>
      <w:r w:rsidR="004D6C8E">
        <w:rPr>
          <w:color w:val="FFFFFF"/>
        </w:rPr>
        <w:t>Odyssee</w:t>
      </w:r>
      <w:r>
        <w:rPr>
          <w:color w:val="FFFFFF"/>
        </w:rPr>
        <w:t>“</w:t>
      </w:r>
    </w:p>
    <w:p w:rsidR="00A12735" w:rsidRDefault="00A12735" w:rsidP="00A12735">
      <w:pPr>
        <w:pStyle w:val="Aufzhlungszeichen"/>
        <w:numPr>
          <w:ilvl w:val="0"/>
          <w:numId w:val="0"/>
        </w:numPr>
      </w:pPr>
    </w:p>
    <w:p w:rsidR="00A12735" w:rsidRDefault="00A12735" w:rsidP="00A12735">
      <w:pPr>
        <w:pStyle w:val="Aufzhlungszeichen"/>
        <w:numPr>
          <w:ilvl w:val="0"/>
          <w:numId w:val="0"/>
        </w:numPr>
        <w:rPr>
          <w:rFonts w:ascii="Times New Roman" w:hAnsi="Times New Roman"/>
          <w:lang w:val="en-GB"/>
        </w:rPr>
      </w:pPr>
    </w:p>
    <w:p w:rsidR="00205C64" w:rsidRDefault="00205C64" w:rsidP="00A12735">
      <w:pPr>
        <w:pStyle w:val="Aufzhlungszeichen"/>
        <w:numPr>
          <w:ilvl w:val="0"/>
          <w:numId w:val="0"/>
        </w:numPr>
        <w:rPr>
          <w:rFonts w:ascii="Times New Roman" w:hAnsi="Times New Roman"/>
          <w:lang w:val="en-GB"/>
        </w:rPr>
      </w:pPr>
    </w:p>
    <w:p w:rsidR="004D6C8E" w:rsidRDefault="004D6C8E" w:rsidP="004D6C8E">
      <w:pPr>
        <w:pStyle w:val="berschrift1"/>
      </w:pPr>
      <w:r>
        <w:rPr>
          <w:rStyle w:val="subautor"/>
        </w:rPr>
        <w:t>Homer</w:t>
      </w:r>
      <w:r>
        <w:br/>
        <w:t>Odysseia</w:t>
      </w:r>
    </w:p>
    <w:p w:rsidR="004D6C8E" w:rsidRDefault="004D6C8E" w:rsidP="004D6C8E">
      <w:pPr>
        <w:pStyle w:val="gattung"/>
      </w:pPr>
      <w:r>
        <w:t>Hauptgattung: Epik/Prosa</w:t>
      </w:r>
      <w:r>
        <w:br/>
        <w:t>Untergattung: Epos</w:t>
      </w:r>
    </w:p>
    <w:p w:rsidR="004D6C8E" w:rsidRDefault="004D6C8E" w:rsidP="004D6C8E">
      <w:pPr>
        <w:pStyle w:val="StandardWeb"/>
        <w:spacing w:before="0" w:beforeAutospacing="0" w:after="0" w:afterAutospacing="0"/>
      </w:pPr>
      <w:r>
        <w:t xml:space="preserve">(griech.; </w:t>
      </w:r>
      <w:bookmarkStart w:id="0" w:name="LPHit3"/>
      <w:bookmarkEnd w:id="0"/>
      <w:r>
        <w:rPr>
          <w:rStyle w:val="hit"/>
          <w:i/>
          <w:iCs/>
        </w:rPr>
        <w:t>Odyssee</w:t>
      </w:r>
      <w:r>
        <w:rPr>
          <w:i/>
          <w:iCs/>
        </w:rPr>
        <w:t xml:space="preserve"> </w:t>
      </w:r>
      <w:r>
        <w:t xml:space="preserve">) – Das unter dem Namen des Homer überlieferte, 12 110 Hexameter umfassende Epos ist in seiner jetzigen Form vermutlich im späteren 8. Jh. v. Chr. entstanden. Das nach der </w:t>
      </w:r>
      <w:r>
        <w:rPr>
          <w:i/>
          <w:iCs/>
        </w:rPr>
        <w:t>Ilias</w:t>
      </w:r>
      <w:r>
        <w:t xml:space="preserve"> zweitälteste Werk der griechischen Literatur besingt in 24 Büchern die abenteuerlichen Irrfahrten und die glückliche Heimkehr des Königs Odysseus von Ithaka, der wie andere griechische Könige und Heroen nach Troja gezogen war. Ähnlich wie in der </w:t>
      </w:r>
      <w:r>
        <w:rPr>
          <w:i/>
          <w:iCs/>
        </w:rPr>
        <w:t>Ilias</w:t>
      </w:r>
      <w:r>
        <w:t xml:space="preserve"> werden die ein Jahrzehnt umspannenden Ereignisse der </w:t>
      </w:r>
      <w:bookmarkStart w:id="1" w:name="LPHit4"/>
      <w:bookmarkEnd w:id="1"/>
      <w:r>
        <w:rPr>
          <w:rStyle w:val="hit"/>
          <w:i/>
          <w:iCs/>
        </w:rPr>
        <w:t>Odyssee</w:t>
      </w:r>
      <w:r>
        <w:rPr>
          <w:i/>
          <w:iCs/>
        </w:rPr>
        <w:t xml:space="preserve"> </w:t>
      </w:r>
      <w:r>
        <w:t xml:space="preserve">nicht fortlaufend berichtet, sondern mittels kunstvoller Erzähltechnik auf einen kurzen Zeitraum zusammengedrängt: Die Berichtszeit der </w:t>
      </w:r>
      <w:bookmarkStart w:id="2" w:name="LPHit5"/>
      <w:bookmarkEnd w:id="2"/>
      <w:r>
        <w:rPr>
          <w:rStyle w:val="hit"/>
          <w:i/>
          <w:iCs/>
        </w:rPr>
        <w:t>Odyssee</w:t>
      </w:r>
      <w:r>
        <w:rPr>
          <w:i/>
          <w:iCs/>
        </w:rPr>
        <w:t xml:space="preserve"> </w:t>
      </w:r>
      <w:r>
        <w:t> – von Odysseus' Abschied von der Nymphe Kalypso, die ihn lange auf der Insel Ogygia festgehalten hat, bis zu seiner Wiederetablierung auf Ithaka – umfasst nur 42 Tage; was dieser letzten Phase vorausgeht, von Trojas Fall bis zu Odysseus' Ankunft bei Kalypso, wird nur indirekt – durch ausgedehnte Erzählung des Helden und Lieder eines fahrenden Sängers – dargestellt.</w:t>
      </w:r>
    </w:p>
    <w:p w:rsidR="004D6C8E" w:rsidRDefault="004D6C8E" w:rsidP="004D6C8E">
      <w:pPr>
        <w:pStyle w:val="StandardWeb"/>
        <w:spacing w:before="0" w:beforeAutospacing="0" w:after="0" w:afterAutospacing="0"/>
      </w:pPr>
      <w:r>
        <w:t>Nach dem gattungstypischen, als Titelersatz fungierenden Prooimion (»Singe mir, Muse, die Taten des weitgereisten Mannes«) setzt die Handlung gewissermaßen am äußersten geographischen Punkt ein: Odysseus sitzt bereits seit sieben Jahren auf Kalypsos Insel fest. Athene, die Schutzgöttin des Helden, dringt auf einer Götterversammlung, an der der Odysseus feindlich gesonnene Meergott Poseidon nicht teilnimmt, auf die Heimkehr ihres Schützlings. In Gestalt des väterlichen Gastfreundes Mentes begibt sie sich dann nach Ithaka zu Odysseus' Sohn Telemachos und ermuntert ihn, nach dem verschollenen Vater zu suchen. Obwohl die Volksversammlung – beherrscht von den Freiern, die seit Jahren in Odysseus' Palast hausen und vergeblich die standhafte Penelope umwerben – dieses Unternehmen ablehnt, fährt Telemach zu Nachforschungen bei Nestor in Pylos und bei Menelaos in Sparta aus. Als die Freier von seinem heimlichen Aufbruch hören, beschließen sie, ihn bei der Rückkehr zu töten (Buch 1–4).</w:t>
      </w:r>
    </w:p>
    <w:p w:rsidR="004D6C8E" w:rsidRDefault="004D6C8E" w:rsidP="004D6C8E">
      <w:pPr>
        <w:pStyle w:val="StandardWeb"/>
        <w:spacing w:before="0" w:beforeAutospacing="0" w:after="0" w:afterAutospacing="0"/>
      </w:pPr>
      <w:r>
        <w:t>Erst jetzt wendet sich der Blick des Dichters wieder Odysseus zu. Auf Beschluss einer weiteren Götterversammlung wird Hermes zu Kalypso gesandt, die daraufhin Odysseus freigibt und ihn ein Floß bauen lässt. Am 18. Tag seiner Fahrt geht das Gefährt kurz vor der Insel Scheria in einem von Poseidon geschickten Unwetter zu Bruch. Mit letzter Kraft erreicht Odysseus das Ufer, wo er in einen tiefen Schlaf fällt (Buch 5). Hier wird er von der Königstochter Nausikaa entdeckt und zu ihrem Vater, dem Phaiakenkönig Alkinoos, gebracht (Buch 6), bei dem er freundliche Aufnahme findet. Als hier der Rhapsode (Sänger) Demodokos Lieder von Achill und Odysseus vorträgt, die Ilions (Trojas) Untergang zum Inhalt haben, bricht Odysseus in Tränen aus, muss sich zu erkennen geben (Buch 7–8) und erzählt seine Irrfahrten: seine Erlebnisse bei Kikonen und Lotophagen; die Blendung des Kyklopen Polyphemos, die ihm den Zorn Poseidons zuzog; die verhängnisvolle Öffnung der Windschläuche des Aiolos; den Angriff der Laistrygonen; den Aufenthalt bei der Zauberin Kirke; den Besuch der Unterwelt; die Gefährdung durch die Sirenen und die Seeungeheuer Skylla und Charybdis; den frevelhaften Verzehr der heiligen Rinder des Sonnengottes Helios, der zum Verlust aller Gefährten und des letzten Schiffes führte; schließlich die Landung des Schiffbrüchigen auf Kalypsos Insel (Buch 9–12).</w:t>
      </w:r>
    </w:p>
    <w:p w:rsidR="004D6C8E" w:rsidRDefault="004D6C8E" w:rsidP="004D6C8E">
      <w:pPr>
        <w:pStyle w:val="StandardWeb"/>
        <w:spacing w:before="0" w:beforeAutospacing="0" w:after="0" w:afterAutospacing="0"/>
      </w:pPr>
      <w:r>
        <w:lastRenderedPageBreak/>
        <w:t>Der zweite Teil des Epos erzählt von Odysseus' Rückfahrt und Heimkehr. In nächtlicher Fahrt bringen ihn die Phaiaken nach Ithaka; als er am Strand erwacht, tritt Athene aus dem Nebel und belehrt ihn darüber, dass er wieder in der Heimat ist. Sie verwandelt ihn in einen Bettler und rät ihm, wie er weiter vorgehen solle (Buch 13). Er sucht den »göttlichen Sauhirten« Eumaios auf, der ihn, ohne ihn zu erkennen, freundlich bewirtet (Buch 14).</w:t>
      </w:r>
    </w:p>
    <w:p w:rsidR="004D6C8E" w:rsidRDefault="004D6C8E" w:rsidP="004D6C8E">
      <w:pPr>
        <w:pStyle w:val="StandardWeb"/>
        <w:spacing w:before="0" w:beforeAutospacing="0" w:after="0" w:afterAutospacing="0"/>
      </w:pPr>
      <w:r>
        <w:t>Mit Beginn von Buch 15 vereinigen sich die bisher getrennten Erzählstränge: Athene treibt in Sparta Telemach zum Aufbruch und bewahrt sein Schiff vor dem Hinterhalt der Freier (Buch 15). Bei Eumaios trifft Telemach auf den Vater; als beide allein sind, gibt sich Odysseus zu erkennen. Währenddessen sinnen die Freier weiter auf Telemachs Beseitigung (Buch 16). Am nächsten Tag gehen Vater und Sohn getrennt in die Stadt. Nur der Hund Argos erkennt in dem vermeintlichen Bettler seinen ehemaligen Herrn, während der Ziegenhirt Melanthios Odysseus mit Schmähungen und Schlägen bedenkt und Antinoos, der skrupelloseste der Freier, mit einem Schemel nach ihm wirft (Buch 17–18).</w:t>
      </w:r>
    </w:p>
    <w:p w:rsidR="004D6C8E" w:rsidRDefault="004D6C8E" w:rsidP="004D6C8E">
      <w:pPr>
        <w:pStyle w:val="StandardWeb"/>
        <w:spacing w:before="0" w:beforeAutospacing="0" w:after="0" w:afterAutospacing="0"/>
      </w:pPr>
      <w:r>
        <w:t>Als die Freier über Nacht den Palast verlassen, entfernt Telemachos heimlich die Waffen aus dem Saal. Der ›Bettler‹ kann ein langes Gespräch mit Penelope führen, in dem er sie auf die Rückkehr des Odysseus vorbereitet. Die Amme Eurykleia aber erkennt ihn an einer Beinnarbe, als sie ihm die Füße wäscht (Buch 19). In der Nacht liegt Odysseus schlaflos; Penelope sieht bekümmert der auf den nächsten Tag festgesetzten endgültigen Auswahl eines neuen Ehemanns entgegen. Auf dem Festmahl tags darauf kommt es zu neuerlichen Beleidigungen des ›Bettlers‹ (Buch 20). Nun lässt Penelope den großen Bogen des Odysseus bringen; wer ihn spannen und den Pfeil durch die Löcher von zwölf in einer Reihe aufgestellten Äxten schießen kann, soll ihr Gemahl werden. Alle Freier scheitern; da ergreift Odysseus den Bogen, spannt ihn und schießt durch sämtliche Äxte (Buch 21). Dann erschießt er Antinoos und gibt sich zu erkennen. In einem furchtbaren Rachegericht tötet er zusammen mit Telemach, Eumaios und dem Rinderhirten Philoitios nacheinander alle Freier; die untreuen Mägde werden gehängt. Nach der Reinigung des Saales wird Odysseus vom übrigen Gesinde als König begrüßt (Buch 22). Doch Penelope zögert noch immer, an die Rückkehr des Gatten zu glauben; ihre Zweifel schwinden erst, als Odysseus vom Konstruktionsgeheimnis ihres ehelichen Bettes spricht. Der Morgen erfüllt Odysseus mit neuer Sorge: Das Volk wird es nicht hinnehmen, dass seine Oberschicht hingemetzelt wurde (Buch 23). Während Hermes die Seelen der Freier in den Hades geleitet, begibt sich Odysseus zu seinem alten Vater Laertes; dort treffen sie auf die aufständischen Bewohner der Insel, die kommen, um Odysseus zur Rechenschaft zu ziehen. Aber Athene greift ein und stiftet einen dauerhaften Frieden zwischen Volk und Herrscher (Buch 24).</w:t>
      </w:r>
    </w:p>
    <w:p w:rsidR="004D6C8E" w:rsidRDefault="004D6C8E" w:rsidP="004D6C8E">
      <w:pPr>
        <w:pStyle w:val="StandardWeb"/>
        <w:spacing w:before="0" w:beforeAutospacing="0" w:after="0" w:afterAutospacing="0"/>
      </w:pPr>
      <w:r>
        <w:t xml:space="preserve">Die kunstvolle Komposition sowie die Einteilung des Werks in zwei gleich lange Hälften – Odysseus' Abwesenheit und Heimkehr – zu je zwölf Gesängen weisen darauf hin, dass die </w:t>
      </w:r>
      <w:bookmarkStart w:id="3" w:name="LPHit6"/>
      <w:bookmarkEnd w:id="3"/>
      <w:r>
        <w:rPr>
          <w:rStyle w:val="hit"/>
          <w:i/>
          <w:iCs/>
        </w:rPr>
        <w:t>Odyssee</w:t>
      </w:r>
      <w:r>
        <w:rPr>
          <w:i/>
          <w:iCs/>
        </w:rPr>
        <w:t xml:space="preserve"> </w:t>
      </w:r>
      <w:r>
        <w:t>kaum ausschließlich das Produkt einer langen mündlichen epischen Tradition sein kann: Nur ein Autor kann das Gedicht in der uns überlieferten Form verfasst oder wenigstens aus vorhandenem Traditionsgut zusammengestellt haben. In der Hauptsache lassen sich drei Stoffkreise erkennen: ein alter ›nostos‹ (Heimkehrgeschichte) vom herumirrenden Seefahrer; die Geschichte vom tot geglaubten, heimkehrenden König; schließlich das Märchen vom Sohn, der auszieht, den verschollenen Vater zu suchen (»Telemachie«). Das dichterische Genie, das diese Elemente in das von ihm schriftlich fixierte Epos eingehen ließ und in der vorliegenden Form ausgestaltete, steht wahrscheinlich nicht am Anfang, sondern am Ende eines langen Prozesses. Viele frühere Philologen gehen von der hypothetischen Vorstellung eines ›Ur-Homer‹ aus, den es aus einem nachträglich verfälschten und entwerteten Text wieder herauszulesen gelte; andere Untersuchungen haben aber gezeigt, dass sich der überlieferte Text durchaus vom Gedanken der künstlerisch geschlossenen Konzeption und Komposition her betrachten und würdigen lässt.</w:t>
      </w:r>
    </w:p>
    <w:p w:rsidR="004D6C8E" w:rsidRDefault="004D6C8E" w:rsidP="004D6C8E">
      <w:pPr>
        <w:pStyle w:val="StandardWeb"/>
        <w:spacing w:before="0" w:beforeAutospacing="0" w:after="0" w:afterAutospacing="0"/>
      </w:pPr>
      <w:r>
        <w:t xml:space="preserve">Der Abstand der </w:t>
      </w:r>
      <w:bookmarkStart w:id="4" w:name="LPHit7"/>
      <w:bookmarkEnd w:id="4"/>
      <w:r>
        <w:rPr>
          <w:rStyle w:val="hit"/>
          <w:i/>
          <w:iCs/>
        </w:rPr>
        <w:t>Odyssee</w:t>
      </w:r>
      <w:r>
        <w:rPr>
          <w:i/>
          <w:iCs/>
        </w:rPr>
        <w:t xml:space="preserve"> </w:t>
      </w:r>
      <w:r>
        <w:t xml:space="preserve">zur </w:t>
      </w:r>
      <w:r>
        <w:rPr>
          <w:i/>
          <w:iCs/>
        </w:rPr>
        <w:t>Ilias</w:t>
      </w:r>
      <w:r>
        <w:t xml:space="preserve"> – der eine unterschiedliche Autorschaft nahezu zwingend macht – zeigt sich vor allem in einem stark veränderten Menschenbild und einem neuen </w:t>
      </w:r>
      <w:r>
        <w:lastRenderedPageBreak/>
        <w:t xml:space="preserve">Verhältnis zu den Göttern. Zwar verhalten auch in der </w:t>
      </w:r>
      <w:bookmarkStart w:id="5" w:name="LPHit8"/>
      <w:bookmarkEnd w:id="5"/>
      <w:r>
        <w:rPr>
          <w:rStyle w:val="hit"/>
          <w:i/>
          <w:iCs/>
        </w:rPr>
        <w:t>Odyssee</w:t>
      </w:r>
      <w:r>
        <w:rPr>
          <w:i/>
          <w:iCs/>
        </w:rPr>
        <w:t xml:space="preserve"> </w:t>
      </w:r>
      <w:r>
        <w:t>anthropomorphe Götter sich den Menschen gegenüber nach Belieben aus der Nähe oder Ferne huldvoll oder grausam, willkürlich oder gerecht; doch ist die Erfahrung des Göttlichen als eines nur Ehrfurchtgebietenden einem mit dem Religiösen verbundenen Moralismus gewichen: Das Strafgericht der Götter trifft den, der Unrecht tut; dem jedoch, der den Willen der Götter achtet, der z. B. weder das Gastrecht noch fremdes Eigentum verletzt, der seinen Herrn ehrt und Unglückliche nicht von sich stößt, gehört ihre Huld. Wie ein roter Faden zieht sich dieses Motiv durch das Epos; das Verhalten gegenüber dem unglücklichen, unerkannten Odysseus wird zum Prüfstein für die, denen er begegnet. Eben durch die Verhöhnung und Misshandlung des ›Bettlers‹ bringen die Freier selbst das Blutgericht über sich, bei dem man Odysseus als Werkzeug der Götter verstehen kann, die die letzten Garanten des Rechtes sind. In dieser Vorstellung liegt die Gewähr für den guten – untragischen – Ausgang des Geschehens.</w:t>
      </w:r>
    </w:p>
    <w:p w:rsidR="004D6C8E" w:rsidRDefault="004D6C8E" w:rsidP="004D6C8E">
      <w:pPr>
        <w:pStyle w:val="StandardWeb"/>
        <w:spacing w:before="0" w:beforeAutospacing="0" w:after="0" w:afterAutospacing="0"/>
      </w:pPr>
      <w:r>
        <w:t xml:space="preserve">Die </w:t>
      </w:r>
      <w:bookmarkStart w:id="6" w:name="LPHit9"/>
      <w:bookmarkEnd w:id="6"/>
      <w:r>
        <w:rPr>
          <w:rStyle w:val="hit"/>
          <w:i/>
          <w:iCs/>
        </w:rPr>
        <w:t>Odyssee</w:t>
      </w:r>
      <w:r>
        <w:rPr>
          <w:i/>
          <w:iCs/>
        </w:rPr>
        <w:t xml:space="preserve"> </w:t>
      </w:r>
      <w:r>
        <w:t xml:space="preserve">präsentiert auch eine neue Art Held, weit entfernt von den Haudegen der </w:t>
      </w:r>
      <w:r>
        <w:rPr>
          <w:i/>
          <w:iCs/>
        </w:rPr>
        <w:t>Ilias</w:t>
      </w:r>
      <w:r>
        <w:t>. Im Vergleich zu deren düster strahlendem Haupthelden Achill ist Odysseus ein ›menschlicherer‹ und ›sozialerer‹ Charakter; sein Heldentum ist durch Klugheit und Phantasie, Verantwortungsgefühl und Humor, Umsicht und Rechtlichkeit, Festigkeit und Geduld, Selbstbeherrschung und Verstellungskunst gekennzeichnet. Der Liebling der verstandesklaren Athene ist frei von Hass, falscher Ehrsucht und Eitelkeit. Auch als Herrscher und König erscheint Odysseus vorbildlich. Das Heroische der mythischen Zeit ist kaum mehr als ein ferner Hintergrund; der politische Standpunkt des Werks ist nicht mehr ausschließlich feudalaristokratisch, sondern auch vom Hervortreten anderer Bevölkerungsgruppen geprägt.</w:t>
      </w:r>
    </w:p>
    <w:p w:rsidR="004D6C8E" w:rsidRDefault="004D6C8E" w:rsidP="004D6C8E">
      <w:pPr>
        <w:pStyle w:val="StandardWeb"/>
        <w:spacing w:before="0" w:beforeAutospacing="0" w:after="0" w:afterAutospacing="0"/>
      </w:pPr>
      <w:r>
        <w:t xml:space="preserve">Sprachlich ist die </w:t>
      </w:r>
      <w:bookmarkStart w:id="7" w:name="LPHit10"/>
      <w:bookmarkEnd w:id="7"/>
      <w:r>
        <w:rPr>
          <w:rStyle w:val="hit"/>
          <w:i/>
          <w:iCs/>
        </w:rPr>
        <w:t>Odyssee</w:t>
      </w:r>
      <w:r>
        <w:rPr>
          <w:i/>
          <w:iCs/>
        </w:rPr>
        <w:t xml:space="preserve"> </w:t>
      </w:r>
      <w:r>
        <w:t xml:space="preserve">gekennzeichnet durch die Merkmale des ›epischen‹ Stils: eine durchgehend ›hohe‹ Stillage mit stereotypen (noch aus dem mündlichen Dichten stammenden) Phrasen und Epitheta. Bemerkenswert ist die differenzierte Zeichnung einer großen Zahl lebensvoller Gestalten. Die aus der </w:t>
      </w:r>
      <w:r>
        <w:rPr>
          <w:i/>
          <w:iCs/>
        </w:rPr>
        <w:t>Ilias</w:t>
      </w:r>
      <w:r>
        <w:t xml:space="preserve"> bekannten epischen Gleichnisse treten zurück zugunsten einer pointierteren Gnomik.</w:t>
      </w:r>
    </w:p>
    <w:p w:rsidR="004D6C8E" w:rsidRDefault="004D6C8E" w:rsidP="004D6C8E">
      <w:pPr>
        <w:pStyle w:val="StandardWeb"/>
        <w:spacing w:before="0" w:beforeAutospacing="0" w:after="0" w:afterAutospacing="0"/>
      </w:pPr>
      <w:r>
        <w:t xml:space="preserve">Die Wirkung der </w:t>
      </w:r>
      <w:bookmarkStart w:id="8" w:name="LPHit11"/>
      <w:bookmarkEnd w:id="8"/>
      <w:r>
        <w:rPr>
          <w:rStyle w:val="hit"/>
          <w:i/>
          <w:iCs/>
        </w:rPr>
        <w:t>Odyssee</w:t>
      </w:r>
      <w:r>
        <w:rPr>
          <w:i/>
          <w:iCs/>
        </w:rPr>
        <w:t xml:space="preserve"> </w:t>
      </w:r>
      <w:r>
        <w:t xml:space="preserve">auf die europäische Literatur ist unabsehbar. Schon in der Antike als Darstellung und Ausdruck griechischen Wesens zur Schullektüre erhoben, lieferte sie mehreren philosophischen Schulen einprägsames Anschauungsmaterial. </w:t>
      </w:r>
      <w:hyperlink r:id="rId8" w:history="1">
        <w:r>
          <w:rPr>
            <w:rStyle w:val="Hyperlink"/>
          </w:rPr>
          <w:t>Aristoteles</w:t>
        </w:r>
      </w:hyperlink>
      <w:r>
        <w:t xml:space="preserve"> und nach ihm die klassizistische Poetik sahen in ihr Begriff und Gestalt des Epos überhaupt, und so wurde sie zum Ausgangspunkt der Gattung schlechthin: </w:t>
      </w:r>
      <w:hyperlink r:id="rId9" w:history="1">
        <w:r>
          <w:rPr>
            <w:rStyle w:val="Hyperlink"/>
          </w:rPr>
          <w:t>Vergils</w:t>
        </w:r>
      </w:hyperlink>
      <w:r>
        <w:t> </w:t>
      </w:r>
      <w:r>
        <w:rPr>
          <w:i/>
          <w:iCs/>
        </w:rPr>
        <w:t>Aeneis</w:t>
      </w:r>
      <w:r>
        <w:t xml:space="preserve"> ist in formaler und inhaltlicher Hinsicht ohne die </w:t>
      </w:r>
      <w:bookmarkStart w:id="9" w:name="LPHit12"/>
      <w:bookmarkEnd w:id="9"/>
      <w:r>
        <w:rPr>
          <w:rStyle w:val="hit"/>
          <w:i/>
          <w:iCs/>
        </w:rPr>
        <w:t>Odyssee</w:t>
      </w:r>
      <w:r>
        <w:t xml:space="preserve"> undenkbar. Ihre strukturbildenden Momente der Abenteuerreihung und Sensationsmalerei leben weiter in der höfischen und nichthöfischen Epik des Mittelalters und fanden später (aber auch schon in der Antike selbst) Eingang in den populären Abenteuerroman. In der deutschen Literatur spielte das Werk in der Epoche des Klassizismus eine entscheidende Rolle in der Diskussion um den Hexameter und die Erneuerung des Heldenepos; die Versübersetzung von Johann Heinrich </w:t>
      </w:r>
      <w:hyperlink r:id="rId10" w:history="1">
        <w:r>
          <w:rPr>
            <w:rStyle w:val="Hyperlink"/>
          </w:rPr>
          <w:t>Voß</w:t>
        </w:r>
      </w:hyperlink>
      <w:r>
        <w:t xml:space="preserve"> (1781) ist auch durch die moderneren Versionen Thassilo von Scheffers, Rudolf Alexander </w:t>
      </w:r>
      <w:hyperlink r:id="rId11" w:history="1">
        <w:r>
          <w:rPr>
            <w:rStyle w:val="Hyperlink"/>
          </w:rPr>
          <w:t>Schröders</w:t>
        </w:r>
      </w:hyperlink>
      <w:r>
        <w:t xml:space="preserve"> oder Wolfgang Schadewaldts nicht überholt.</w:t>
      </w:r>
    </w:p>
    <w:p w:rsidR="004D6C8E" w:rsidRDefault="004D6C8E" w:rsidP="004D6C8E">
      <w:r>
        <w:rPr>
          <w:b/>
          <w:bCs/>
        </w:rPr>
        <w:t xml:space="preserve">Ausg.: </w:t>
      </w:r>
      <w:r>
        <w:t xml:space="preserve">Homeri Odyssea, Hg. H. van Thiel, 1991. </w:t>
      </w:r>
    </w:p>
    <w:p w:rsidR="004D6C8E" w:rsidRDefault="004D6C8E" w:rsidP="004D6C8E">
      <w:r>
        <w:rPr>
          <w:b/>
          <w:bCs/>
        </w:rPr>
        <w:t xml:space="preserve">Übers.: </w:t>
      </w:r>
      <w:r>
        <w:t xml:space="preserve">Die </w:t>
      </w:r>
      <w:bookmarkStart w:id="10" w:name="LPHit13"/>
      <w:bookmarkEnd w:id="10"/>
      <w:r>
        <w:rPr>
          <w:rStyle w:val="hit"/>
        </w:rPr>
        <w:t>Odyssee</w:t>
      </w:r>
      <w:r>
        <w:t xml:space="preserve">, W. Schadewaldt, 1958. </w:t>
      </w:r>
    </w:p>
    <w:p w:rsidR="004D6C8E" w:rsidRPr="004D6C8E" w:rsidRDefault="004D6C8E" w:rsidP="004D6C8E">
      <w:pPr>
        <w:rPr>
          <w:lang w:val="fr-CH"/>
        </w:rPr>
      </w:pPr>
      <w:r>
        <w:rPr>
          <w:b/>
          <w:bCs/>
        </w:rPr>
        <w:t xml:space="preserve">Lit.: </w:t>
      </w:r>
      <w:r>
        <w:t xml:space="preserve">J. Griffin: H., The Odyssey, 1987. • U. Hölscher: Die </w:t>
      </w:r>
      <w:bookmarkStart w:id="11" w:name="LPHit14"/>
      <w:bookmarkEnd w:id="11"/>
      <w:r>
        <w:rPr>
          <w:rStyle w:val="hit"/>
        </w:rPr>
        <w:t>Odyssee</w:t>
      </w:r>
      <w:r>
        <w:t xml:space="preserve">. Epos zwischen Märchen und Roman, </w:t>
      </w:r>
      <w:r>
        <w:rPr>
          <w:vertAlign w:val="superscript"/>
        </w:rPr>
        <w:t>3</w:t>
      </w:r>
      <w:r>
        <w:t xml:space="preserve">1990. • S. West/J. B. Hainsworth/A. Heubeck/A. Hoekstra/J. Russo/M. Fernández-Galiano: A Commentary on H.s Odyssey, 3 Bde, 1988–1991 [Komm. ohne Text; urspr. ital. 1981–1986]. </w:t>
      </w:r>
      <w:r w:rsidRPr="004D6C8E">
        <w:rPr>
          <w:lang w:val="fr-CH"/>
        </w:rPr>
        <w:t xml:space="preserve">• I. J. F. de Jong: A Narratological Commentary on the Odyssey, 2001. </w:t>
      </w:r>
    </w:p>
    <w:p w:rsidR="004D6C8E" w:rsidRDefault="004D6C8E" w:rsidP="004D6C8E">
      <w:r>
        <w:t>Richard Mellein / Heinz-Günther Nesselrath</w:t>
      </w:r>
    </w:p>
    <w:p w:rsidR="00205C64" w:rsidRPr="005A7959" w:rsidRDefault="00205C64" w:rsidP="00A12735">
      <w:pPr>
        <w:pStyle w:val="Aufzhlungszeichen"/>
        <w:numPr>
          <w:ilvl w:val="0"/>
          <w:numId w:val="0"/>
        </w:numPr>
        <w:rPr>
          <w:rFonts w:ascii="Times New Roman" w:hAnsi="Times New Roman"/>
        </w:rPr>
      </w:pPr>
    </w:p>
    <w:sectPr w:rsidR="00205C64" w:rsidRPr="005A795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85" w:rsidRDefault="00A11885">
      <w:r>
        <w:separator/>
      </w:r>
    </w:p>
  </w:endnote>
  <w:endnote w:type="continuationSeparator" w:id="0">
    <w:p w:rsidR="00A11885" w:rsidRDefault="00A1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82" w:rsidRDefault="008D6C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B" w:rsidRDefault="008D6C82">
    <w:pPr>
      <w:pStyle w:val="Fuzeile"/>
      <w:shd w:val="clear" w:color="auto" w:fill="FFFFFF"/>
      <w:rPr>
        <w:color w:val="000000"/>
        <w:sz w:val="20"/>
        <w:lang w:val="de-CH"/>
      </w:rPr>
    </w:pPr>
    <w:r>
      <w:rPr>
        <w:color w:val="000000"/>
        <w:sz w:val="20"/>
        <w:shd w:val="clear" w:color="auto" w:fill="99CCFF"/>
        <w:lang w:val="de-CH"/>
      </w:rPr>
      <w:t>EFZ/</w:t>
    </w:r>
    <w:r w:rsidR="00F73618">
      <w:rPr>
        <w:color w:val="000000"/>
        <w:sz w:val="20"/>
        <w:shd w:val="clear" w:color="auto" w:fill="99CCFF"/>
        <w:lang w:val="de-CH"/>
      </w:rPr>
      <w:t>Art. 32 - Nachholbildung</w:t>
    </w:r>
    <w:r w:rsidR="00820F5B">
      <w:rPr>
        <w:color w:val="FFFFFF"/>
        <w:sz w:val="20"/>
        <w:shd w:val="clear" w:color="auto" w:fill="99CCFF"/>
        <w:lang w:val="de-CH"/>
      </w:rPr>
      <w:tab/>
    </w:r>
    <w:r w:rsidR="00C478A0" w:rsidRPr="00C478A0">
      <w:rPr>
        <w:rStyle w:val="Seitenzahl"/>
        <w:shd w:val="clear" w:color="auto" w:fill="99CCFF"/>
      </w:rPr>
      <w:fldChar w:fldCharType="begin"/>
    </w:r>
    <w:r w:rsidR="00C478A0" w:rsidRPr="00C478A0">
      <w:rPr>
        <w:rStyle w:val="Seitenzahl"/>
        <w:shd w:val="clear" w:color="auto" w:fill="99CCFF"/>
      </w:rPr>
      <w:instrText xml:space="preserve"> PAGE </w:instrText>
    </w:r>
    <w:r w:rsidR="00C478A0" w:rsidRPr="00C478A0">
      <w:rPr>
        <w:rStyle w:val="Seitenzahl"/>
        <w:shd w:val="clear" w:color="auto" w:fill="99CCFF"/>
      </w:rPr>
      <w:fldChar w:fldCharType="separate"/>
    </w:r>
    <w:r w:rsidR="000B729C">
      <w:rPr>
        <w:rStyle w:val="Seitenzahl"/>
        <w:noProof/>
        <w:shd w:val="clear" w:color="auto" w:fill="99CCFF"/>
      </w:rPr>
      <w:t>2</w:t>
    </w:r>
    <w:r w:rsidR="00C478A0" w:rsidRPr="00C478A0">
      <w:rPr>
        <w:rStyle w:val="Seitenzahl"/>
        <w:shd w:val="clear" w:color="auto" w:fill="99CCFF"/>
      </w:rPr>
      <w:fldChar w:fldCharType="end"/>
    </w:r>
    <w:r w:rsidR="00820F5B">
      <w:rPr>
        <w:color w:val="FFFFFF"/>
        <w:sz w:val="20"/>
        <w:shd w:val="clear" w:color="auto" w:fill="99CCFF"/>
        <w:lang w:val="de-CH"/>
      </w:rPr>
      <w:tab/>
    </w:r>
    <w:bookmarkStart w:id="12" w:name="_GoBack"/>
    <w:bookmarkEnd w:id="12"/>
    <w:r w:rsidR="000B729C">
      <w:rPr>
        <w:rFonts w:cs="Arial"/>
        <w:color w:val="FFFFFF"/>
        <w:sz w:val="20"/>
        <w:shd w:val="clear" w:color="auto" w:fill="3366FF"/>
        <w:lang w:val="de-CH"/>
      </w:rPr>
      <w:t>Flid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82" w:rsidRDefault="008D6C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85" w:rsidRDefault="00A11885">
      <w:r>
        <w:separator/>
      </w:r>
    </w:p>
  </w:footnote>
  <w:footnote w:type="continuationSeparator" w:id="0">
    <w:p w:rsidR="00A11885" w:rsidRDefault="00A1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82" w:rsidRDefault="008D6C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5B" w:rsidRDefault="008D6C82">
    <w:pPr>
      <w:pStyle w:val="Kopfzeile"/>
      <w:shd w:val="clear" w:color="auto" w:fill="FFFFFF"/>
      <w:rPr>
        <w:rFonts w:ascii="Monotype Corsiva" w:hAnsi="Monotype Corsiva"/>
        <w:color w:val="FFFFFF"/>
        <w:sz w:val="20"/>
        <w:lang w:val="de-CH"/>
      </w:rPr>
    </w:pPr>
    <w:r>
      <w:rPr>
        <w:color w:val="000000"/>
        <w:sz w:val="20"/>
        <w:shd w:val="clear" w:color="auto" w:fill="99CCFF"/>
        <w:lang w:val="de-CH"/>
      </w:rPr>
      <w:t>Kulturgeschichte</w:t>
    </w:r>
    <w:r w:rsidR="00820F5B">
      <w:rPr>
        <w:shd w:val="clear" w:color="auto" w:fill="99CCFF"/>
        <w:lang w:val="de-CH"/>
      </w:rPr>
      <w:tab/>
    </w:r>
    <w:r w:rsidR="00820F5B">
      <w:rPr>
        <w:shd w:val="clear" w:color="auto" w:fill="99CCFF"/>
        <w:lang w:val="de-CH"/>
      </w:rPr>
      <w:tab/>
    </w:r>
    <w:r w:rsidR="00820F5B">
      <w:rPr>
        <w:rFonts w:cs="Arial"/>
        <w:color w:val="FFFFFF"/>
        <w:sz w:val="20"/>
        <w:shd w:val="clear" w:color="auto" w:fill="3366FF"/>
        <w:lang w:val="de-CH"/>
      </w:rPr>
      <w:t>Antike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82" w:rsidRDefault="008D6C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EEB9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3"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01"/>
    <w:rsid w:val="000B729C"/>
    <w:rsid w:val="00137452"/>
    <w:rsid w:val="001C3D8A"/>
    <w:rsid w:val="00205C64"/>
    <w:rsid w:val="00385440"/>
    <w:rsid w:val="003B5080"/>
    <w:rsid w:val="004460EB"/>
    <w:rsid w:val="004D6C8E"/>
    <w:rsid w:val="005A7959"/>
    <w:rsid w:val="005B5968"/>
    <w:rsid w:val="005B6AC0"/>
    <w:rsid w:val="005E1288"/>
    <w:rsid w:val="006A5F5F"/>
    <w:rsid w:val="00820F5B"/>
    <w:rsid w:val="008D6C82"/>
    <w:rsid w:val="008D6DB2"/>
    <w:rsid w:val="00935201"/>
    <w:rsid w:val="00986FC1"/>
    <w:rsid w:val="009F1FA5"/>
    <w:rsid w:val="00A11885"/>
    <w:rsid w:val="00A12735"/>
    <w:rsid w:val="00A624F4"/>
    <w:rsid w:val="00A66147"/>
    <w:rsid w:val="00A94EFD"/>
    <w:rsid w:val="00C478A0"/>
    <w:rsid w:val="00D32927"/>
    <w:rsid w:val="00E5530D"/>
    <w:rsid w:val="00E67322"/>
    <w:rsid w:val="00E83759"/>
    <w:rsid w:val="00F73618"/>
    <w:rsid w:val="00FC42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696E37C"/>
  <w15:docId w15:val="{F06C8A4C-46EE-47E3-8E72-B58A6EA1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basedOn w:val="Absatz-Standardschriftart"/>
    <w:rPr>
      <w:color w:val="0000FF"/>
      <w:u w:val="single"/>
    </w:rPr>
  </w:style>
  <w:style w:type="paragraph" w:styleId="Sprechblasentext">
    <w:name w:val="Balloon Text"/>
    <w:basedOn w:val="Standard"/>
    <w:semiHidden/>
    <w:rsid w:val="00A12735"/>
    <w:rPr>
      <w:rFonts w:ascii="Tahoma" w:hAnsi="Tahoma" w:cs="Tahoma"/>
      <w:sz w:val="16"/>
      <w:szCs w:val="16"/>
    </w:rPr>
  </w:style>
  <w:style w:type="character" w:styleId="Seitenzahl">
    <w:name w:val="page number"/>
    <w:basedOn w:val="Absatz-Standardschriftart"/>
    <w:rsid w:val="00C478A0"/>
  </w:style>
  <w:style w:type="paragraph" w:styleId="Funotentext">
    <w:name w:val="footnote text"/>
    <w:basedOn w:val="Standard"/>
    <w:semiHidden/>
    <w:rsid w:val="005A7959"/>
    <w:rPr>
      <w:sz w:val="20"/>
    </w:rPr>
  </w:style>
  <w:style w:type="character" w:styleId="Funotenzeichen">
    <w:name w:val="footnote reference"/>
    <w:basedOn w:val="Absatz-Standardschriftart"/>
    <w:semiHidden/>
    <w:rsid w:val="005A7959"/>
    <w:rPr>
      <w:vertAlign w:val="superscript"/>
    </w:rPr>
  </w:style>
  <w:style w:type="character" w:customStyle="1" w:styleId="subautor">
    <w:name w:val="subautor"/>
    <w:basedOn w:val="Absatz-Standardschriftart"/>
    <w:rsid w:val="00205C64"/>
  </w:style>
  <w:style w:type="paragraph" w:customStyle="1" w:styleId="gattung">
    <w:name w:val="gattung"/>
    <w:basedOn w:val="Standard"/>
    <w:rsid w:val="00205C64"/>
    <w:pPr>
      <w:spacing w:before="100" w:beforeAutospacing="1" w:after="100" w:afterAutospacing="1"/>
    </w:pPr>
    <w:rPr>
      <w:rFonts w:ascii="Times New Roman" w:hAnsi="Times New Roman"/>
      <w:szCs w:val="24"/>
      <w:lang w:val="de-CH" w:eastAsia="de-CH"/>
    </w:rPr>
  </w:style>
  <w:style w:type="paragraph" w:styleId="StandardWeb">
    <w:name w:val="Normal (Web)"/>
    <w:basedOn w:val="Standard"/>
    <w:uiPriority w:val="99"/>
    <w:unhideWhenUsed/>
    <w:rsid w:val="00205C64"/>
    <w:pPr>
      <w:spacing w:before="100" w:beforeAutospacing="1" w:after="100" w:afterAutospacing="1"/>
    </w:pPr>
    <w:rPr>
      <w:rFonts w:ascii="Times New Roman" w:hAnsi="Times New Roman"/>
      <w:szCs w:val="24"/>
      <w:lang w:val="de-CH" w:eastAsia="de-CH"/>
    </w:rPr>
  </w:style>
  <w:style w:type="character" w:customStyle="1" w:styleId="hit">
    <w:name w:val="hit"/>
    <w:basedOn w:val="Absatz-Standardschriftart"/>
    <w:rsid w:val="0020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38846">
      <w:bodyDiv w:val="1"/>
      <w:marLeft w:val="0"/>
      <w:marRight w:val="0"/>
      <w:marTop w:val="0"/>
      <w:marBottom w:val="0"/>
      <w:divBdr>
        <w:top w:val="none" w:sz="0" w:space="0" w:color="auto"/>
        <w:left w:val="none" w:sz="0" w:space="0" w:color="auto"/>
        <w:bottom w:val="none" w:sz="0" w:space="0" w:color="auto"/>
        <w:right w:val="none" w:sz="0" w:space="0" w:color="auto"/>
      </w:divBdr>
      <w:divsChild>
        <w:div w:id="1506246510">
          <w:marLeft w:val="0"/>
          <w:marRight w:val="0"/>
          <w:marTop w:val="0"/>
          <w:marBottom w:val="0"/>
          <w:divBdr>
            <w:top w:val="none" w:sz="0" w:space="0" w:color="auto"/>
            <w:left w:val="none" w:sz="0" w:space="0" w:color="auto"/>
            <w:bottom w:val="none" w:sz="0" w:space="0" w:color="auto"/>
            <w:right w:val="none" w:sz="0" w:space="0" w:color="auto"/>
          </w:divBdr>
        </w:div>
        <w:div w:id="1403530301">
          <w:marLeft w:val="0"/>
          <w:marRight w:val="0"/>
          <w:marTop w:val="0"/>
          <w:marBottom w:val="0"/>
          <w:divBdr>
            <w:top w:val="none" w:sz="0" w:space="0" w:color="auto"/>
            <w:left w:val="none" w:sz="0" w:space="0" w:color="auto"/>
            <w:bottom w:val="none" w:sz="0" w:space="0" w:color="auto"/>
            <w:right w:val="none" w:sz="0" w:space="0" w:color="auto"/>
          </w:divBdr>
        </w:div>
        <w:div w:id="721253237">
          <w:marLeft w:val="0"/>
          <w:marRight w:val="0"/>
          <w:marTop w:val="0"/>
          <w:marBottom w:val="0"/>
          <w:divBdr>
            <w:top w:val="none" w:sz="0" w:space="0" w:color="auto"/>
            <w:left w:val="none" w:sz="0" w:space="0" w:color="auto"/>
            <w:bottom w:val="none" w:sz="0" w:space="0" w:color="auto"/>
            <w:right w:val="none" w:sz="0" w:space="0" w:color="auto"/>
          </w:divBdr>
        </w:div>
        <w:div w:id="1977174235">
          <w:marLeft w:val="0"/>
          <w:marRight w:val="0"/>
          <w:marTop w:val="0"/>
          <w:marBottom w:val="0"/>
          <w:divBdr>
            <w:top w:val="none" w:sz="0" w:space="0" w:color="auto"/>
            <w:left w:val="none" w:sz="0" w:space="0" w:color="auto"/>
            <w:bottom w:val="none" w:sz="0" w:space="0" w:color="auto"/>
            <w:right w:val="none" w:sz="0" w:space="0" w:color="auto"/>
          </w:divBdr>
        </w:div>
      </w:divsChild>
    </w:div>
    <w:div w:id="1594508916">
      <w:bodyDiv w:val="1"/>
      <w:marLeft w:val="0"/>
      <w:marRight w:val="0"/>
      <w:marTop w:val="0"/>
      <w:marBottom w:val="0"/>
      <w:divBdr>
        <w:top w:val="none" w:sz="0" w:space="0" w:color="auto"/>
        <w:left w:val="none" w:sz="0" w:space="0" w:color="auto"/>
        <w:bottom w:val="none" w:sz="0" w:space="0" w:color="auto"/>
        <w:right w:val="none" w:sz="0" w:space="0" w:color="auto"/>
      </w:divBdr>
      <w:divsChild>
        <w:div w:id="635375675">
          <w:marLeft w:val="0"/>
          <w:marRight w:val="0"/>
          <w:marTop w:val="0"/>
          <w:marBottom w:val="0"/>
          <w:divBdr>
            <w:top w:val="none" w:sz="0" w:space="0" w:color="auto"/>
            <w:left w:val="none" w:sz="0" w:space="0" w:color="auto"/>
            <w:bottom w:val="none" w:sz="0" w:space="0" w:color="auto"/>
            <w:right w:val="none" w:sz="0" w:space="0" w:color="auto"/>
          </w:divBdr>
        </w:div>
        <w:div w:id="553547699">
          <w:marLeft w:val="0"/>
          <w:marRight w:val="0"/>
          <w:marTop w:val="0"/>
          <w:marBottom w:val="0"/>
          <w:divBdr>
            <w:top w:val="none" w:sz="0" w:space="0" w:color="auto"/>
            <w:left w:val="none" w:sz="0" w:space="0" w:color="auto"/>
            <w:bottom w:val="none" w:sz="0" w:space="0" w:color="auto"/>
            <w:right w:val="none" w:sz="0" w:space="0" w:color="auto"/>
          </w:divBdr>
        </w:div>
        <w:div w:id="721516343">
          <w:marLeft w:val="0"/>
          <w:marRight w:val="0"/>
          <w:marTop w:val="0"/>
          <w:marBottom w:val="0"/>
          <w:divBdr>
            <w:top w:val="none" w:sz="0" w:space="0" w:color="auto"/>
            <w:left w:val="none" w:sz="0" w:space="0" w:color="auto"/>
            <w:bottom w:val="none" w:sz="0" w:space="0" w:color="auto"/>
            <w:right w:val="none" w:sz="0" w:space="0" w:color="auto"/>
          </w:divBdr>
        </w:div>
        <w:div w:id="44650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ll-aktuell.cedion.de/nxt/gateway.dll/kll/h/k0298900.xml/k0298900_020.xml?f=id$id=KINDLER:k0034150$t=index.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ll-aktuell.cedion.de/nxt/gateway.dll/kll/h/k0298900.xml/k0298900_020.xml?f=id$id=KINDLER:k0621600$t=index.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kll-aktuell.cedion.de/nxt/gateway.dll/kll/h/k0298900.xml/k0298900_020.xml?f=id$id=KINDLER:k0729000$t=index.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ll-aktuell.cedion.de/nxt/gateway.dll/kll/h/k0298900.xml/k0298900_020.xml?f=id$id=KINDLER:k0718600$t=index.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3</Pages>
  <Words>1674</Words>
  <Characters>10552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3</cp:revision>
  <cp:lastPrinted>2016-03-10T12:49:00Z</cp:lastPrinted>
  <dcterms:created xsi:type="dcterms:W3CDTF">2018-02-01T08:02:00Z</dcterms:created>
  <dcterms:modified xsi:type="dcterms:W3CDTF">2018-05-25T08:20:00Z</dcterms:modified>
</cp:coreProperties>
</file>